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32" w:type="pct"/>
        <w:tblInd w:w="5529" w:type="dxa"/>
        <w:tblCellMar>
          <w:left w:w="0" w:type="dxa"/>
          <w:right w:w="0" w:type="dxa"/>
        </w:tblCellMar>
        <w:tblLook w:val="04A0"/>
      </w:tblPr>
      <w:tblGrid>
        <w:gridCol w:w="4110"/>
      </w:tblGrid>
      <w:tr w:rsidR="0024484C" w:rsidRPr="0024484C" w:rsidTr="0024484C">
        <w:tc>
          <w:tcPr>
            <w:tcW w:w="5000" w:type="pct"/>
            <w:shd w:val="clear" w:color="auto" w:fill="auto"/>
            <w:hideMark/>
          </w:tcPr>
          <w:p w:rsidR="0024484C" w:rsidRDefault="0024484C" w:rsidP="0024484C">
            <w:pPr>
              <w:spacing w:before="125" w:after="125" w:line="240" w:lineRule="auto"/>
              <w:ind w:left="376" w:right="376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ВИТЯГ</w:t>
            </w:r>
          </w:p>
        </w:tc>
      </w:tr>
      <w:tr w:rsidR="0024484C" w:rsidRPr="0024484C" w:rsidTr="0024484C">
        <w:tc>
          <w:tcPr>
            <w:tcW w:w="5000" w:type="pct"/>
            <w:shd w:val="clear" w:color="auto" w:fill="auto"/>
            <w:hideMark/>
          </w:tcPr>
          <w:p w:rsidR="0024484C" w:rsidRPr="0024484C" w:rsidRDefault="0024484C" w:rsidP="0024484C">
            <w:pPr>
              <w:spacing w:before="125"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ЗАТВЕРДЖЕНО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постановою Кабінету Міністрів України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 30 грудня 2015 р. № 1187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 редакції постанови Кабінету Міністрів України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 w:anchor="n25" w:tgtFrame="_blank" w:history="1">
              <w:r w:rsidRPr="0024484C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4"/>
                  <w:szCs w:val="24"/>
                  <w:u w:val="single"/>
                </w:rPr>
                <w:t>від 10 травня 2018 р. № 347</w:t>
              </w:r>
            </w:hyperlink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24484C" w:rsidRPr="00CC1102" w:rsidRDefault="0024484C" w:rsidP="00CC1102">
      <w:pPr>
        <w:shd w:val="clear" w:color="auto" w:fill="FFFFFF"/>
        <w:spacing w:after="0" w:line="240" w:lineRule="auto"/>
        <w:ind w:left="376" w:right="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n12"/>
      <w:bookmarkEnd w:id="0"/>
      <w:r w:rsidRPr="00CC1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ЛІЦЕНЗІЙНІ УМОВИ </w:t>
      </w:r>
      <w:r w:rsidRPr="00CC11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C1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провадження освітньої діяльності</w:t>
      </w:r>
    </w:p>
    <w:p w:rsidR="0024484C" w:rsidRDefault="0024484C" w:rsidP="00CC1102">
      <w:pPr>
        <w:pStyle w:val="rvps3"/>
        <w:shd w:val="clear" w:color="auto" w:fill="FFFFFF"/>
        <w:spacing w:before="0" w:beforeAutospacing="0" w:after="0" w:afterAutospacing="0"/>
        <w:ind w:left="376" w:right="376"/>
        <w:jc w:val="center"/>
        <w:rPr>
          <w:color w:val="000000"/>
          <w:sz w:val="20"/>
          <w:szCs w:val="20"/>
        </w:rPr>
      </w:pPr>
      <w:bookmarkStart w:id="1" w:name="n614"/>
      <w:bookmarkStart w:id="2" w:name="n622"/>
      <w:bookmarkEnd w:id="1"/>
      <w:bookmarkEnd w:id="2"/>
      <w:r>
        <w:rPr>
          <w:rStyle w:val="rvts11"/>
          <w:i/>
          <w:iCs/>
          <w:color w:val="000000"/>
        </w:rPr>
        <w:t>Кадрові вимоги щодо забезпечення провадження освітньої діяльності у сфері вищої та післядипломної освіти для осіб з вищою освітою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3" w:name="n623"/>
      <w:bookmarkEnd w:id="3"/>
      <w:r>
        <w:rPr>
          <w:color w:val="000000"/>
          <w:sz w:val="20"/>
          <w:szCs w:val="20"/>
        </w:rPr>
        <w:t>28. Науково-педагогічні та наукові працівники, які здійснюють освітній процес, повинні мати стаж науково-педагогічної діяльності понад два роки та рівень наукової та професійної активності, який засвідчується виконанням не менше чотирьох видів та результатів з перелічених у пункті 30 цих Ліцензійних умов.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4" w:name="n624"/>
      <w:bookmarkEnd w:id="4"/>
      <w:r>
        <w:rPr>
          <w:color w:val="000000"/>
          <w:sz w:val="20"/>
          <w:szCs w:val="20"/>
        </w:rPr>
        <w:t>Для другого (магістерського) рівня вищої освіти кадровий склад закладу освіти повинен включати з розрахунку на кожні десять здобувачів освітнього ступеня магістра одного викладача, який має кваліфікацію відповідно до спеціальності, науковий ступінь або вчене звання.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5" w:name="n625"/>
      <w:bookmarkEnd w:id="5"/>
      <w:r>
        <w:rPr>
          <w:color w:val="000000"/>
          <w:sz w:val="20"/>
          <w:szCs w:val="20"/>
        </w:rPr>
        <w:t>Для третього (</w:t>
      </w:r>
      <w:proofErr w:type="spellStart"/>
      <w:r>
        <w:rPr>
          <w:color w:val="000000"/>
          <w:sz w:val="20"/>
          <w:szCs w:val="20"/>
        </w:rPr>
        <w:t>освітньо-наукового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освітньо-творчого</w:t>
      </w:r>
      <w:proofErr w:type="spellEnd"/>
      <w:r>
        <w:rPr>
          <w:color w:val="000000"/>
          <w:sz w:val="20"/>
          <w:szCs w:val="20"/>
        </w:rPr>
        <w:t>) рівня (доктор філософії/доктор мистецтва) кадровий склад закладу освіти повинен включати з розрахунку на кожних два здобувачі освітнього ступеня доктора філософії/ доктора мистецтва одного викладача, який має науковий ступінь та/або вчене звання, а також кваліфікацію відповідно до спеціальності, підтверджену науковою, науково-педагогічною, педагогічною чи іншою професійною діяльністю за відповідною спеціальністю за не менш як сімома видами чи результатами, переліченими у пункті 30 цих Ліцензійних умов.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6" w:name="n626"/>
      <w:bookmarkEnd w:id="6"/>
      <w:r>
        <w:rPr>
          <w:color w:val="000000"/>
          <w:sz w:val="20"/>
          <w:szCs w:val="20"/>
        </w:rPr>
        <w:t>29. Група забезпечення спеціальності у кожному підрозділі закладу освіти, де здійснюється підготовка за спеціальністю, повинна складатися з науково-педагогічних або наукових працівників, які працюють у закладі освіти за основним місцем роботи та мають кваліфікацію відповідно до спеціальності і які не входять (входили) до жодної групи забезпечення такого або іншого закладу вищої освіти в поточному семестрі.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7" w:name="n627"/>
      <w:bookmarkEnd w:id="7"/>
      <w:r>
        <w:rPr>
          <w:color w:val="000000"/>
          <w:sz w:val="20"/>
          <w:szCs w:val="20"/>
        </w:rPr>
        <w:t>При цьому склад групи забезпечення повинен відповідати таким вимогам: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8" w:name="n628"/>
      <w:bookmarkEnd w:id="8"/>
      <w:r>
        <w:rPr>
          <w:color w:val="000000"/>
          <w:sz w:val="20"/>
          <w:szCs w:val="20"/>
        </w:rPr>
        <w:t>частка тих, хто має науковий ступінь та/або вчене звання, встановлюється для найвищого рівня, за яким фактично провадиться освітня діяльність, і становить не менше 20 відсотків загальної кількості членів групи забезпечення для рівня молодшого бакалавра (до 1 вересня 2019 р. з урахуванням педагогічних працівників, які мають вищу категорію), 50 відсотків - бакалавра, 60 відсотків - магістра, доктора філософії;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9" w:name="n629"/>
      <w:bookmarkEnd w:id="9"/>
      <w:r>
        <w:rPr>
          <w:color w:val="000000"/>
          <w:sz w:val="20"/>
          <w:szCs w:val="20"/>
        </w:rPr>
        <w:t>частка тих, хто має науковий ступінь доктора наук та/або вчене звання професора, встановлюється для найвищого рівня, за яким фактично провадиться освітня діяльність і становить не менше 10 відсотків загальної кількості членів групи забезпечення для рівня бакалавра, 20 відсотків - магістра, 30 відсотків - доктора філософії/доктора мистецтва.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0" w:name="n630"/>
      <w:bookmarkEnd w:id="10"/>
      <w:r>
        <w:rPr>
          <w:color w:val="000000"/>
          <w:sz w:val="20"/>
          <w:szCs w:val="20"/>
        </w:rPr>
        <w:t>Під час розрахунку показників для </w:t>
      </w:r>
      <w:hyperlink r:id="rId6" w:anchor="n11" w:tgtFrame="_blank" w:history="1">
        <w:r>
          <w:rPr>
            <w:rStyle w:val="a3"/>
            <w:color w:val="000099"/>
          </w:rPr>
          <w:t>спеціальностей галузей знань</w:t>
        </w:r>
      </w:hyperlink>
      <w:r>
        <w:rPr>
          <w:color w:val="000000"/>
          <w:sz w:val="20"/>
          <w:szCs w:val="20"/>
        </w:rPr>
        <w:t xml:space="preserve"> 01 </w:t>
      </w:r>
      <w:proofErr w:type="spellStart"/>
      <w:r>
        <w:rPr>
          <w:color w:val="000000"/>
          <w:sz w:val="20"/>
          <w:szCs w:val="20"/>
        </w:rPr>
        <w:t>“Освіта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Педагогіка”</w:t>
      </w:r>
      <w:proofErr w:type="spellEnd"/>
      <w:r>
        <w:rPr>
          <w:color w:val="000000"/>
          <w:sz w:val="20"/>
          <w:szCs w:val="20"/>
        </w:rPr>
        <w:t xml:space="preserve">, 02 </w:t>
      </w:r>
      <w:proofErr w:type="spellStart"/>
      <w:r>
        <w:rPr>
          <w:color w:val="000000"/>
          <w:sz w:val="20"/>
          <w:szCs w:val="20"/>
        </w:rPr>
        <w:t>“Культура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мистецтво”</w:t>
      </w:r>
      <w:proofErr w:type="spellEnd"/>
      <w:r>
        <w:rPr>
          <w:color w:val="000000"/>
          <w:sz w:val="20"/>
          <w:szCs w:val="20"/>
        </w:rPr>
        <w:t xml:space="preserve">, спеціальності 191 </w:t>
      </w:r>
      <w:proofErr w:type="spellStart"/>
      <w:r>
        <w:rPr>
          <w:color w:val="000000"/>
          <w:sz w:val="20"/>
          <w:szCs w:val="20"/>
        </w:rPr>
        <w:t>“Архітектура</w:t>
      </w:r>
      <w:proofErr w:type="spellEnd"/>
      <w:r>
        <w:rPr>
          <w:color w:val="000000"/>
          <w:sz w:val="20"/>
          <w:szCs w:val="20"/>
        </w:rPr>
        <w:t xml:space="preserve"> та </w:t>
      </w:r>
      <w:proofErr w:type="spellStart"/>
      <w:r>
        <w:rPr>
          <w:color w:val="000000"/>
          <w:sz w:val="20"/>
          <w:szCs w:val="20"/>
        </w:rPr>
        <w:t>містобудування”</w:t>
      </w:r>
      <w:proofErr w:type="spellEnd"/>
      <w:r>
        <w:rPr>
          <w:color w:val="000000"/>
          <w:sz w:val="20"/>
          <w:szCs w:val="20"/>
        </w:rPr>
        <w:t xml:space="preserve">, звання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артист”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художник”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архітектор”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вчитель”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діяч </w:t>
      </w:r>
      <w:proofErr w:type="spellStart"/>
      <w:r>
        <w:rPr>
          <w:color w:val="000000"/>
          <w:sz w:val="20"/>
          <w:szCs w:val="20"/>
        </w:rPr>
        <w:t>мистецтв”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тренер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 прирівнюються до вченого звання професора, звання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артист”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художник”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архітектор”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вчитель”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працівник </w:t>
      </w:r>
      <w:proofErr w:type="spellStart"/>
      <w:r>
        <w:rPr>
          <w:color w:val="000000"/>
          <w:sz w:val="20"/>
          <w:szCs w:val="20"/>
        </w:rPr>
        <w:t>культури”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майстер спорту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працівник </w:t>
      </w:r>
      <w:proofErr w:type="spellStart"/>
      <w:r>
        <w:rPr>
          <w:color w:val="000000"/>
          <w:sz w:val="20"/>
          <w:szCs w:val="20"/>
        </w:rPr>
        <w:t>освіти”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майстер народної творчості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 - вченого звання доцента.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1" w:name="n631"/>
      <w:bookmarkEnd w:id="11"/>
      <w:r>
        <w:rPr>
          <w:color w:val="000000"/>
          <w:sz w:val="20"/>
          <w:szCs w:val="20"/>
        </w:rPr>
        <w:t>Кількість членів групи забезпечення є достатньою, якщо на одного її члена припадає не більше 30 здобувачів вищої освіти всіх рівнів, курсів та форм навчання з відповідної спеціальності (для дистанційної форми навчання не більше 60 здобувачів).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2" w:name="n632"/>
      <w:bookmarkEnd w:id="12"/>
      <w:r>
        <w:rPr>
          <w:color w:val="000000"/>
          <w:sz w:val="20"/>
          <w:szCs w:val="20"/>
        </w:rPr>
        <w:t>30. Види і результати професійної діяльності особи за спеціальністю, яка застосовується до визнання кваліфікації, відповідної спеціальності: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3" w:name="n633"/>
      <w:bookmarkEnd w:id="13"/>
      <w:r>
        <w:rPr>
          <w:color w:val="000000"/>
          <w:sz w:val="20"/>
          <w:szCs w:val="20"/>
        </w:rPr>
        <w:t xml:space="preserve">1) наявність за останні п’ять років наукових публікацій у періодичних виданнях, які включені до </w:t>
      </w:r>
      <w:proofErr w:type="spellStart"/>
      <w:r>
        <w:rPr>
          <w:color w:val="000000"/>
          <w:sz w:val="20"/>
          <w:szCs w:val="20"/>
        </w:rPr>
        <w:t>наукометричних</w:t>
      </w:r>
      <w:proofErr w:type="spellEnd"/>
      <w:r>
        <w:rPr>
          <w:color w:val="000000"/>
          <w:sz w:val="20"/>
          <w:szCs w:val="20"/>
        </w:rPr>
        <w:t xml:space="preserve"> баз, рекомендованих МОН, зокрема </w:t>
      </w:r>
      <w:proofErr w:type="spellStart"/>
      <w:r>
        <w:rPr>
          <w:color w:val="000000"/>
          <w:sz w:val="20"/>
          <w:szCs w:val="20"/>
        </w:rPr>
        <w:t>Scopus</w:t>
      </w:r>
      <w:proofErr w:type="spellEnd"/>
      <w:r>
        <w:rPr>
          <w:color w:val="000000"/>
          <w:sz w:val="20"/>
          <w:szCs w:val="20"/>
        </w:rPr>
        <w:t xml:space="preserve"> або </w:t>
      </w:r>
      <w:proofErr w:type="spellStart"/>
      <w:r>
        <w:rPr>
          <w:color w:val="000000"/>
          <w:sz w:val="20"/>
          <w:szCs w:val="20"/>
        </w:rPr>
        <w:t>Web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Science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Collection</w:t>
      </w:r>
      <w:proofErr w:type="spellEnd"/>
      <w:r>
        <w:rPr>
          <w:color w:val="000000"/>
          <w:sz w:val="20"/>
          <w:szCs w:val="20"/>
        </w:rPr>
        <w:t>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4" w:name="n634"/>
      <w:bookmarkEnd w:id="14"/>
      <w:r>
        <w:rPr>
          <w:color w:val="000000"/>
          <w:sz w:val="20"/>
          <w:szCs w:val="20"/>
        </w:rPr>
        <w:t>2) наявність не менше п’яти наукових публікацій у наукових виданнях, включених до переліку наукових фахових видань України;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5" w:name="n635"/>
      <w:bookmarkEnd w:id="15"/>
      <w:r>
        <w:rPr>
          <w:color w:val="000000"/>
          <w:sz w:val="20"/>
          <w:szCs w:val="20"/>
        </w:rPr>
        <w:t>3) наявність виданого підручника чи навчального посібника або монографії;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6" w:name="n636"/>
      <w:bookmarkEnd w:id="16"/>
      <w:r>
        <w:rPr>
          <w:color w:val="000000"/>
          <w:sz w:val="20"/>
          <w:szCs w:val="20"/>
        </w:rPr>
        <w:t>4) наукове керівництво (консультування) здобувача, який одержав документ про присудження наукового ступеня;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7" w:name="n637"/>
      <w:bookmarkEnd w:id="17"/>
      <w:r>
        <w:rPr>
          <w:color w:val="000000"/>
          <w:sz w:val="20"/>
          <w:szCs w:val="20"/>
        </w:rPr>
        <w:t xml:space="preserve">5) участь у міжнародних наукових проектах, залучення до міжнародної експертизи, наявність звання </w:t>
      </w:r>
      <w:proofErr w:type="spellStart"/>
      <w:r>
        <w:rPr>
          <w:color w:val="000000"/>
          <w:sz w:val="20"/>
          <w:szCs w:val="20"/>
        </w:rPr>
        <w:t>“суддя</w:t>
      </w:r>
      <w:proofErr w:type="spellEnd"/>
      <w:r>
        <w:rPr>
          <w:color w:val="000000"/>
          <w:sz w:val="20"/>
          <w:szCs w:val="20"/>
        </w:rPr>
        <w:t xml:space="preserve"> міжнародної </w:t>
      </w:r>
      <w:proofErr w:type="spellStart"/>
      <w:r>
        <w:rPr>
          <w:color w:val="000000"/>
          <w:sz w:val="20"/>
          <w:szCs w:val="20"/>
        </w:rPr>
        <w:t>категорії”</w:t>
      </w:r>
      <w:proofErr w:type="spellEnd"/>
      <w:r>
        <w:rPr>
          <w:color w:val="000000"/>
          <w:sz w:val="20"/>
          <w:szCs w:val="20"/>
        </w:rPr>
        <w:t>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8" w:name="n638"/>
      <w:bookmarkEnd w:id="18"/>
      <w:r>
        <w:rPr>
          <w:color w:val="000000"/>
          <w:sz w:val="20"/>
          <w:szCs w:val="20"/>
        </w:rPr>
        <w:t>6) проведення навчальних занять із спеціальних дисциплін іноземною мовою в обсязі не менше 50 аудиторних годин на навчальний рік;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19" w:name="n639"/>
      <w:bookmarkEnd w:id="19"/>
      <w:r>
        <w:rPr>
          <w:color w:val="000000"/>
          <w:sz w:val="20"/>
          <w:szCs w:val="20"/>
        </w:rPr>
        <w:lastRenderedPageBreak/>
        <w:t xml:space="preserve">7) робота у складі експертних рад з питань проведення експертизи дисертацій МОН або галузевих експертних рад Національного агентства із забезпечення якості вищої освіти, або </w:t>
      </w:r>
      <w:proofErr w:type="spellStart"/>
      <w:r>
        <w:rPr>
          <w:color w:val="000000"/>
          <w:sz w:val="20"/>
          <w:szCs w:val="20"/>
        </w:rPr>
        <w:t>Акредитаційної</w:t>
      </w:r>
      <w:proofErr w:type="spellEnd"/>
      <w:r>
        <w:rPr>
          <w:color w:val="000000"/>
          <w:sz w:val="20"/>
          <w:szCs w:val="20"/>
        </w:rPr>
        <w:t xml:space="preserve"> комісії, або їх експертних рад, або міжгалузевої експертної ради з вищої освіти </w:t>
      </w:r>
      <w:proofErr w:type="spellStart"/>
      <w:r>
        <w:rPr>
          <w:color w:val="000000"/>
          <w:sz w:val="20"/>
          <w:szCs w:val="20"/>
        </w:rPr>
        <w:t>Акредитаційної</w:t>
      </w:r>
      <w:proofErr w:type="spellEnd"/>
      <w:r>
        <w:rPr>
          <w:color w:val="000000"/>
          <w:sz w:val="20"/>
          <w:szCs w:val="20"/>
        </w:rPr>
        <w:t xml:space="preserve"> комісії, або трьох експертних комісій МОН/зазначеного Агентства, або Науково-методичної ради/науково-методичних комісій (підкомісій) з вищої освіти МОН;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0" w:name="n640"/>
      <w:bookmarkEnd w:id="20"/>
      <w:r>
        <w:rPr>
          <w:color w:val="000000"/>
          <w:sz w:val="20"/>
          <w:szCs w:val="20"/>
        </w:rPr>
        <w:t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1" w:name="n641"/>
      <w:bookmarkEnd w:id="21"/>
      <w:r>
        <w:rPr>
          <w:color w:val="000000"/>
          <w:sz w:val="20"/>
          <w:szCs w:val="20"/>
        </w:rPr>
        <w:t xml:space="preserve">9)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</w:t>
      </w:r>
      <w:proofErr w:type="spellStart"/>
      <w:r>
        <w:rPr>
          <w:color w:val="000000"/>
          <w:sz w:val="20"/>
          <w:szCs w:val="20"/>
        </w:rPr>
        <w:t>“Мала</w:t>
      </w:r>
      <w:proofErr w:type="spellEnd"/>
      <w:r>
        <w:rPr>
          <w:color w:val="000000"/>
          <w:sz w:val="20"/>
          <w:szCs w:val="20"/>
        </w:rPr>
        <w:t xml:space="preserve"> академія наук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; участь у журі олімпіад чи конкурсів </w:t>
      </w:r>
      <w:proofErr w:type="spellStart"/>
      <w:r>
        <w:rPr>
          <w:color w:val="000000"/>
          <w:sz w:val="20"/>
          <w:szCs w:val="20"/>
        </w:rPr>
        <w:t>“Мала</w:t>
      </w:r>
      <w:proofErr w:type="spellEnd"/>
      <w:r>
        <w:rPr>
          <w:color w:val="000000"/>
          <w:sz w:val="20"/>
          <w:szCs w:val="20"/>
        </w:rPr>
        <w:t xml:space="preserve"> академія наук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>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2" w:name="n642"/>
      <w:bookmarkEnd w:id="22"/>
      <w:r>
        <w:rPr>
          <w:color w:val="000000"/>
          <w:sz w:val="20"/>
          <w:szCs w:val="20"/>
        </w:rPr>
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3" w:name="n643"/>
      <w:bookmarkEnd w:id="23"/>
      <w:r>
        <w:rPr>
          <w:color w:val="000000"/>
          <w:sz w:val="20"/>
          <w:szCs w:val="20"/>
        </w:rPr>
        <w:t>11) участь в атестації наукових працівників як офіційного опонента або члена постійної спеціалізованої вченої ради (не менше трьох разових спеціалізованих вчених рад);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4" w:name="n644"/>
      <w:bookmarkEnd w:id="24"/>
      <w:r>
        <w:rPr>
          <w:color w:val="000000"/>
          <w:sz w:val="20"/>
          <w:szCs w:val="20"/>
        </w:rPr>
        <w:t>12) наявність не менше п’яти авторських свідоцтв та/або патентів загальною кількістю два досягнення;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5" w:name="n645"/>
      <w:bookmarkEnd w:id="25"/>
      <w:r>
        <w:rPr>
          <w:color w:val="000000"/>
          <w:sz w:val="20"/>
          <w:szCs w:val="20"/>
        </w:rPr>
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6" w:name="n646"/>
      <w:bookmarkEnd w:id="26"/>
      <w:r>
        <w:rPr>
          <w:color w:val="000000"/>
          <w:sz w:val="20"/>
          <w:szCs w:val="20"/>
        </w:rPr>
        <w:t xml:space="preserve">14) 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</w:t>
      </w:r>
      <w:proofErr w:type="spellStart"/>
      <w:r>
        <w:rPr>
          <w:color w:val="000000"/>
          <w:sz w:val="20"/>
          <w:szCs w:val="20"/>
        </w:rPr>
        <w:t>Паралімпійських</w:t>
      </w:r>
      <w:proofErr w:type="spellEnd"/>
      <w:r>
        <w:rPr>
          <w:color w:val="000000"/>
          <w:sz w:val="20"/>
          <w:szCs w:val="20"/>
        </w:rPr>
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7" w:name="n647"/>
      <w:bookmarkEnd w:id="27"/>
      <w:r>
        <w:rPr>
          <w:color w:val="000000"/>
          <w:sz w:val="20"/>
          <w:szCs w:val="20"/>
        </w:rPr>
        <w:t>15) наявність науково-популярних та/або консультаційних (дорадчих) та/або дискусійних публікацій з наукової або професійної тематики загальною кількістю не менше п’яти публікацій;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8" w:name="n648"/>
      <w:bookmarkEnd w:id="28"/>
      <w:r>
        <w:rPr>
          <w:color w:val="000000"/>
          <w:sz w:val="20"/>
          <w:szCs w:val="20"/>
        </w:rPr>
        <w:t>16) участь у професійних об’єднаннях за спеціальністю;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29" w:name="n649"/>
      <w:bookmarkEnd w:id="29"/>
      <w:r>
        <w:rPr>
          <w:color w:val="000000"/>
          <w:sz w:val="20"/>
          <w:szCs w:val="20"/>
        </w:rPr>
        <w:t>17) досвід практичної роботи за спеціальністю не менше п’яти років;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30" w:name="n650"/>
      <w:bookmarkEnd w:id="30"/>
      <w:r>
        <w:rPr>
          <w:color w:val="000000"/>
          <w:sz w:val="20"/>
          <w:szCs w:val="20"/>
        </w:rPr>
        <w:t>18) наукове консультування установ, підприємств, організацій протягом не менше двох років.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31" w:name="n651"/>
      <w:bookmarkEnd w:id="31"/>
      <w:r>
        <w:rPr>
          <w:color w:val="000000"/>
          <w:sz w:val="20"/>
          <w:szCs w:val="20"/>
        </w:rPr>
        <w:t>Під час визначення рівня наукової та професійної активності науково-педагогічного (наукового) працівника можуть зараховуватися здобутки за попередніми місцями роботи, п’ятирічний строк може продовжуватися на час перерви в роботі з об’єктивних причин (соціальна відпустка, призов/мобілізація на військову службу чи військова служба за контрактом, тривала хвороба тощо). Для підтвердження кваліфікації науково-педагогічного працівника закладів вищої освіти, в яких здійснюється підготовка фахівців за мистецькими </w:t>
      </w:r>
      <w:hyperlink r:id="rId7" w:anchor="n11" w:tgtFrame="_blank" w:history="1">
        <w:r>
          <w:rPr>
            <w:rStyle w:val="a3"/>
            <w:color w:val="000099"/>
          </w:rPr>
          <w:t>спеціальностями галузі знань</w:t>
        </w:r>
      </w:hyperlink>
      <w:r>
        <w:rPr>
          <w:color w:val="000000"/>
          <w:sz w:val="20"/>
          <w:szCs w:val="20"/>
        </w:rPr>
        <w:t xml:space="preserve"> 02 </w:t>
      </w:r>
      <w:proofErr w:type="spellStart"/>
      <w:r>
        <w:rPr>
          <w:color w:val="000000"/>
          <w:sz w:val="20"/>
          <w:szCs w:val="20"/>
        </w:rPr>
        <w:t>“Культура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мистецтво”</w:t>
      </w:r>
      <w:proofErr w:type="spellEnd"/>
      <w:r>
        <w:rPr>
          <w:color w:val="000000"/>
          <w:sz w:val="20"/>
          <w:szCs w:val="20"/>
        </w:rPr>
        <w:t xml:space="preserve">, замість наукових публікацій можуть зараховуватися такі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</w:t>
      </w:r>
      <w:proofErr w:type="spellStart"/>
      <w:r>
        <w:rPr>
          <w:color w:val="000000"/>
          <w:sz w:val="20"/>
          <w:szCs w:val="20"/>
        </w:rPr>
        <w:t>аудіо-</w:t>
      </w:r>
      <w:proofErr w:type="spellEnd"/>
      <w:r>
        <w:rPr>
          <w:color w:val="000000"/>
          <w:sz w:val="20"/>
          <w:szCs w:val="20"/>
        </w:rPr>
        <w:t xml:space="preserve"> та відео твори, передачі (програми) організації мовлення, </w:t>
      </w:r>
      <w:proofErr w:type="spellStart"/>
      <w:r>
        <w:rPr>
          <w:color w:val="000000"/>
          <w:sz w:val="20"/>
          <w:szCs w:val="20"/>
        </w:rPr>
        <w:t>медіатвори</w:t>
      </w:r>
      <w:proofErr w:type="spellEnd"/>
      <w:r>
        <w:rPr>
          <w:color w:val="000000"/>
          <w:sz w:val="20"/>
          <w:szCs w:val="20"/>
        </w:rPr>
        <w:t xml:space="preserve">, сценічні постановки, концертні програми (сольні та ансамблеві) </w:t>
      </w:r>
      <w:proofErr w:type="spellStart"/>
      <w:r>
        <w:rPr>
          <w:color w:val="000000"/>
          <w:sz w:val="20"/>
          <w:szCs w:val="20"/>
        </w:rPr>
        <w:t>кінотвори</w:t>
      </w:r>
      <w:proofErr w:type="spellEnd"/>
      <w:r>
        <w:rPr>
          <w:color w:val="000000"/>
          <w:sz w:val="20"/>
          <w:szCs w:val="20"/>
        </w:rPr>
        <w:t>, анімаційні твори, аранжування творів, рекламні твори.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32" w:name="n652"/>
      <w:bookmarkEnd w:id="32"/>
      <w:r>
        <w:rPr>
          <w:color w:val="000000"/>
          <w:sz w:val="20"/>
          <w:szCs w:val="20"/>
        </w:rPr>
        <w:t>31. Наявність трудових договорів (контрактів) з усіма науково-педагогічними (науковими) працівниками та наказів про прийняття їх на роботу. Трудові договори (контракти) можуть бути відсутні лише для працівників, які прийняті на роботу до конкурсного заміщення вакантних посад у встановленому законодавством порядку або на умовах строкового договору без проведення конкурсу в разі заміщення посад працівників, які підвищують кваліфікацію або проходять стажування з відривом від виробництва, або перебувають у соціальній відпустці.</w:t>
      </w:r>
    </w:p>
    <w:p w:rsidR="0024484C" w:rsidRDefault="0024484C" w:rsidP="00CC1102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bookmarkStart w:id="33" w:name="n653"/>
      <w:bookmarkEnd w:id="33"/>
      <w:r>
        <w:rPr>
          <w:color w:val="000000"/>
          <w:sz w:val="20"/>
          <w:szCs w:val="20"/>
        </w:rPr>
        <w:t>32. Заклад вищої освіти, який подав заяву про отримання ліцензії на провадження освітньої діяльності (розширення провадження освітньої діяльності) у сфері вищої освіти, зобов’язаний забезпечити кадровий склад науково-педагогічних працівників відповідно до вимог, передбачених цими Ліцензійними умовами.</w:t>
      </w:r>
    </w:p>
    <w:p w:rsidR="00C76579" w:rsidRDefault="00C76579" w:rsidP="00CC1102">
      <w:pPr>
        <w:spacing w:after="0"/>
      </w:pPr>
    </w:p>
    <w:p w:rsidR="00871BA4" w:rsidRDefault="00871BA4" w:rsidP="00CC1102">
      <w:pPr>
        <w:spacing w:after="0"/>
      </w:pPr>
    </w:p>
    <w:p w:rsidR="00871BA4" w:rsidRDefault="00871BA4" w:rsidP="00CC1102">
      <w:pPr>
        <w:spacing w:after="0"/>
      </w:pPr>
    </w:p>
    <w:p w:rsidR="00871BA4" w:rsidRDefault="00871BA4" w:rsidP="00CC1102">
      <w:pPr>
        <w:spacing w:after="0"/>
      </w:pPr>
    </w:p>
    <w:p w:rsidR="00871BA4" w:rsidRDefault="00871BA4" w:rsidP="00CC1102">
      <w:pPr>
        <w:spacing w:after="0"/>
      </w:pPr>
    </w:p>
    <w:tbl>
      <w:tblPr>
        <w:tblW w:w="2132" w:type="pct"/>
        <w:tblInd w:w="5529" w:type="dxa"/>
        <w:tblCellMar>
          <w:left w:w="0" w:type="dxa"/>
          <w:right w:w="0" w:type="dxa"/>
        </w:tblCellMar>
        <w:tblLook w:val="04A0"/>
      </w:tblPr>
      <w:tblGrid>
        <w:gridCol w:w="4110"/>
      </w:tblGrid>
      <w:tr w:rsidR="00871BA4" w:rsidRPr="0024484C" w:rsidTr="004F62B6">
        <w:tc>
          <w:tcPr>
            <w:tcW w:w="5000" w:type="pct"/>
            <w:shd w:val="clear" w:color="auto" w:fill="auto"/>
            <w:hideMark/>
          </w:tcPr>
          <w:p w:rsidR="00871BA4" w:rsidRDefault="00871BA4" w:rsidP="004F62B6">
            <w:pPr>
              <w:spacing w:before="125" w:after="125" w:line="240" w:lineRule="auto"/>
              <w:ind w:left="376" w:right="376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ВИТЯГ</w:t>
            </w:r>
          </w:p>
        </w:tc>
      </w:tr>
      <w:tr w:rsidR="00871BA4" w:rsidRPr="0024484C" w:rsidTr="004F62B6">
        <w:tc>
          <w:tcPr>
            <w:tcW w:w="5000" w:type="pct"/>
            <w:shd w:val="clear" w:color="auto" w:fill="auto"/>
            <w:hideMark/>
          </w:tcPr>
          <w:p w:rsidR="00871BA4" w:rsidRPr="0024484C" w:rsidRDefault="00871BA4" w:rsidP="004F62B6">
            <w:pPr>
              <w:spacing w:before="125"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ЗАТВЕРДЖЕНО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постановою Кабінету Міністрів України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 30 грудня 2015 р. № 1187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 редакції постанови Кабінету Міністрів України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48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" w:anchor="n25" w:tgtFrame="_blank" w:history="1">
              <w:r w:rsidRPr="0024484C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4"/>
                  <w:szCs w:val="24"/>
                  <w:u w:val="single"/>
                </w:rPr>
                <w:t>від 10 травня 2018 р. № 347</w:t>
              </w:r>
            </w:hyperlink>
            <w:r w:rsidRPr="0024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871BA4" w:rsidRPr="00CC1102" w:rsidRDefault="00871BA4" w:rsidP="00871BA4">
      <w:pPr>
        <w:shd w:val="clear" w:color="auto" w:fill="FFFFFF"/>
        <w:spacing w:after="0" w:line="240" w:lineRule="auto"/>
        <w:ind w:left="376" w:right="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ЛІЦЕНЗІЙНІ УМОВИ </w:t>
      </w:r>
      <w:r w:rsidRPr="00CC11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C1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провадження освітньої діяльності</w:t>
      </w:r>
    </w:p>
    <w:p w:rsidR="00871BA4" w:rsidRDefault="00871BA4" w:rsidP="00871BA4">
      <w:pPr>
        <w:pStyle w:val="rvps3"/>
        <w:shd w:val="clear" w:color="auto" w:fill="FFFFFF"/>
        <w:spacing w:before="0" w:beforeAutospacing="0" w:after="0" w:afterAutospacing="0"/>
        <w:ind w:left="376" w:right="376"/>
        <w:jc w:val="center"/>
        <w:rPr>
          <w:color w:val="000000"/>
          <w:sz w:val="20"/>
          <w:szCs w:val="20"/>
        </w:rPr>
      </w:pPr>
      <w:r>
        <w:rPr>
          <w:rStyle w:val="rvts11"/>
          <w:i/>
          <w:iCs/>
          <w:color w:val="000000"/>
        </w:rPr>
        <w:t>Кадрові вимоги щодо забезпечення провадження освітньої діяльності у сфері вищої та післядипломної освіти для осіб з вищою освітою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28. Науково-педагогічні та наукові працівники, які здійснюють освітній процес, повинні мати стаж науково-педагогічної діяльності понад два роки та рівень наукової та професійної активності, який засвідчується виконанням не менше чотирьох видів та результатів з перелічених у пункті 30 цих Ліцензійних умов.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другого (магістерського) рівня вищої освіти кадровий склад закладу освіти повинен включати з розрахунку на кожні десять здобувачів освітнього ступеня магістра одного викладача, який має кваліфікацію відповідно до спеціальності, науковий ступінь або вчене звання.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третього (</w:t>
      </w:r>
      <w:proofErr w:type="spellStart"/>
      <w:r>
        <w:rPr>
          <w:color w:val="000000"/>
          <w:sz w:val="20"/>
          <w:szCs w:val="20"/>
        </w:rPr>
        <w:t>освітньо-наукового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освітньо-творчого</w:t>
      </w:r>
      <w:proofErr w:type="spellEnd"/>
      <w:r>
        <w:rPr>
          <w:color w:val="000000"/>
          <w:sz w:val="20"/>
          <w:szCs w:val="20"/>
        </w:rPr>
        <w:t>) рівня (доктор філософії/доктор мистецтва) кадровий склад закладу освіти повинен включати з розрахунку на кожних два здобувачі освітнього ступеня доктора філософії/ доктора мистецтва одного викладача, який має науковий ступінь та/або вчене звання, а також кваліфікацію відповідно до спеціальності, підтверджену науковою, науково-педагогічною, педагогічною чи іншою професійною діяльністю за відповідною спеціальністю за не менш як сімома видами чи результатами, переліченими у пункті 30 цих Ліцензійних умов.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29. Група забезпечення спеціальності у кожному підрозділі закладу освіти, де здійснюється підготовка за спеціальністю, повинна складатися з науково-педагогічних або наукових працівників, які працюють у закладі освіти за основним місцем роботи та мають кваліфікацію відповідно до спеціальності і які не входять (входили) до жодної групи забезпечення такого або іншого закладу вищої освіти в поточному семестрі.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цьому склад групи забезпечення повинен відповідати таким вимогам: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частка тих, хто має науковий ступінь та/або вчене звання, встановлюється для найвищого рівня, за яким фактично провадиться освітня діяльність, і становить не менше 20 відсотків загальної кількості членів групи забезпечення для рівня молодшого бакалавра (до 1 вересня 2019 р. з урахуванням педагогічних працівників, які мають вищу категорію), 50 відсотків - бакалавра, 60 відсотків - магістра, доктора філософії;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частка тих, хто має науковий ступінь доктора наук та/або вчене звання професора, встановлюється для найвищого рівня, за яким фактично провадиться освітня діяльність і становить не менше 10 відсотків загальної кількості членів групи забезпечення для рівня бакалавра, 20 відсотків - магістра, 30 відсотків - доктора філософії/доктора мистецтва.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Під час розрахунку показників для </w:t>
      </w:r>
      <w:hyperlink r:id="rId9" w:anchor="n11" w:tgtFrame="_blank" w:history="1">
        <w:r>
          <w:rPr>
            <w:rStyle w:val="a3"/>
            <w:color w:val="000099"/>
          </w:rPr>
          <w:t>спеціальностей галузей знань</w:t>
        </w:r>
      </w:hyperlink>
      <w:r>
        <w:rPr>
          <w:color w:val="000000"/>
          <w:sz w:val="20"/>
          <w:szCs w:val="20"/>
        </w:rPr>
        <w:t xml:space="preserve"> 01 </w:t>
      </w:r>
      <w:proofErr w:type="spellStart"/>
      <w:r>
        <w:rPr>
          <w:color w:val="000000"/>
          <w:sz w:val="20"/>
          <w:szCs w:val="20"/>
        </w:rPr>
        <w:t>“Освіта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Педагогіка”</w:t>
      </w:r>
      <w:proofErr w:type="spellEnd"/>
      <w:r>
        <w:rPr>
          <w:color w:val="000000"/>
          <w:sz w:val="20"/>
          <w:szCs w:val="20"/>
        </w:rPr>
        <w:t xml:space="preserve">, 02 </w:t>
      </w:r>
      <w:proofErr w:type="spellStart"/>
      <w:r>
        <w:rPr>
          <w:color w:val="000000"/>
          <w:sz w:val="20"/>
          <w:szCs w:val="20"/>
        </w:rPr>
        <w:t>“Культура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мистецтво”</w:t>
      </w:r>
      <w:proofErr w:type="spellEnd"/>
      <w:r>
        <w:rPr>
          <w:color w:val="000000"/>
          <w:sz w:val="20"/>
          <w:szCs w:val="20"/>
        </w:rPr>
        <w:t xml:space="preserve">, спеціальності 191 </w:t>
      </w:r>
      <w:proofErr w:type="spellStart"/>
      <w:r>
        <w:rPr>
          <w:color w:val="000000"/>
          <w:sz w:val="20"/>
          <w:szCs w:val="20"/>
        </w:rPr>
        <w:t>“Архітектура</w:t>
      </w:r>
      <w:proofErr w:type="spellEnd"/>
      <w:r>
        <w:rPr>
          <w:color w:val="000000"/>
          <w:sz w:val="20"/>
          <w:szCs w:val="20"/>
        </w:rPr>
        <w:t xml:space="preserve"> та </w:t>
      </w:r>
      <w:proofErr w:type="spellStart"/>
      <w:r>
        <w:rPr>
          <w:color w:val="000000"/>
          <w:sz w:val="20"/>
          <w:szCs w:val="20"/>
        </w:rPr>
        <w:t>містобудування”</w:t>
      </w:r>
      <w:proofErr w:type="spellEnd"/>
      <w:r>
        <w:rPr>
          <w:color w:val="000000"/>
          <w:sz w:val="20"/>
          <w:szCs w:val="20"/>
        </w:rPr>
        <w:t xml:space="preserve">, звання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артист”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художник”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архітектор”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“народний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вчитель”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діяч </w:t>
      </w:r>
      <w:proofErr w:type="spellStart"/>
      <w:r>
        <w:rPr>
          <w:color w:val="000000"/>
          <w:sz w:val="20"/>
          <w:szCs w:val="20"/>
        </w:rPr>
        <w:t>мистецтв”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тренер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 прирівнюються до вченого звання професора, звання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артист”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художник”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архітектор”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вчитель”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працівник </w:t>
      </w:r>
      <w:proofErr w:type="spellStart"/>
      <w:r>
        <w:rPr>
          <w:color w:val="000000"/>
          <w:sz w:val="20"/>
          <w:szCs w:val="20"/>
        </w:rPr>
        <w:t>культури”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майстер спорту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працівник </w:t>
      </w:r>
      <w:proofErr w:type="spellStart"/>
      <w:r>
        <w:rPr>
          <w:color w:val="000000"/>
          <w:sz w:val="20"/>
          <w:szCs w:val="20"/>
        </w:rPr>
        <w:t>освіти”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“заслужений</w:t>
      </w:r>
      <w:proofErr w:type="spellEnd"/>
      <w:r>
        <w:rPr>
          <w:color w:val="000000"/>
          <w:sz w:val="20"/>
          <w:szCs w:val="20"/>
        </w:rPr>
        <w:t xml:space="preserve"> майстер народної творчості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 - вченого звання доцента.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Кількість членів групи забезпечення є достатньою, якщо на одного її члена припадає не більше 30 здобувачів вищої освіти всіх рівнів, курсів та форм навчання з відповідної спеціальності (для дистанційної форми навчання не більше 60 здобувачів).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30. Види і результати професійної діяльності особи за спеціальністю, яка застосовується до визнання кваліфікації, відповідної спеціальності: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наявність за останні п’ять років наукових публікацій у періодичних виданнях, які включені до </w:t>
      </w:r>
      <w:proofErr w:type="spellStart"/>
      <w:r>
        <w:rPr>
          <w:color w:val="000000"/>
          <w:sz w:val="20"/>
          <w:szCs w:val="20"/>
        </w:rPr>
        <w:t>наукометричних</w:t>
      </w:r>
      <w:proofErr w:type="spellEnd"/>
      <w:r>
        <w:rPr>
          <w:color w:val="000000"/>
          <w:sz w:val="20"/>
          <w:szCs w:val="20"/>
        </w:rPr>
        <w:t xml:space="preserve"> баз, рекомендованих МОН, зокрема </w:t>
      </w:r>
      <w:proofErr w:type="spellStart"/>
      <w:r>
        <w:rPr>
          <w:color w:val="000000"/>
          <w:sz w:val="20"/>
          <w:szCs w:val="20"/>
        </w:rPr>
        <w:t>Scopus</w:t>
      </w:r>
      <w:proofErr w:type="spellEnd"/>
      <w:r>
        <w:rPr>
          <w:color w:val="000000"/>
          <w:sz w:val="20"/>
          <w:szCs w:val="20"/>
        </w:rPr>
        <w:t xml:space="preserve"> або </w:t>
      </w:r>
      <w:proofErr w:type="spellStart"/>
      <w:r>
        <w:rPr>
          <w:color w:val="000000"/>
          <w:sz w:val="20"/>
          <w:szCs w:val="20"/>
        </w:rPr>
        <w:t>Web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Science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Collection</w:t>
      </w:r>
      <w:proofErr w:type="spellEnd"/>
      <w:r>
        <w:rPr>
          <w:color w:val="000000"/>
          <w:sz w:val="20"/>
          <w:szCs w:val="20"/>
        </w:rPr>
        <w:t>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наявність не менше п’яти наукових публікацій у наукових виданнях, включених до переліку наукових фахових видань України;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наявність виданого підручника чи навчального посібника або монографії;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наукове керівництво (консультування) здобувача, який одержав документ про присудження наукового ступеня;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участь у міжнародних наукових проектах, залучення до міжнародної експертизи, наявність звання </w:t>
      </w:r>
      <w:proofErr w:type="spellStart"/>
      <w:r>
        <w:rPr>
          <w:color w:val="000000"/>
          <w:sz w:val="20"/>
          <w:szCs w:val="20"/>
        </w:rPr>
        <w:t>“суддя</w:t>
      </w:r>
      <w:proofErr w:type="spellEnd"/>
      <w:r>
        <w:rPr>
          <w:color w:val="000000"/>
          <w:sz w:val="20"/>
          <w:szCs w:val="20"/>
        </w:rPr>
        <w:t xml:space="preserve"> міжнародної </w:t>
      </w:r>
      <w:proofErr w:type="spellStart"/>
      <w:r>
        <w:rPr>
          <w:color w:val="000000"/>
          <w:sz w:val="20"/>
          <w:szCs w:val="20"/>
        </w:rPr>
        <w:t>категорії”</w:t>
      </w:r>
      <w:proofErr w:type="spellEnd"/>
      <w:r>
        <w:rPr>
          <w:color w:val="000000"/>
          <w:sz w:val="20"/>
          <w:szCs w:val="20"/>
        </w:rPr>
        <w:t>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 проведення навчальних занять із спеціальних дисциплін іноземною мовою в обсязі не менше 50 аудиторних годин на навчальний рік;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7) робота у складі експертних рад з питань проведення експертизи дисертацій МОН або галузевих експертних рад Національного агентства із забезпечення якості вищої освіти, або </w:t>
      </w:r>
      <w:proofErr w:type="spellStart"/>
      <w:r>
        <w:rPr>
          <w:color w:val="000000"/>
          <w:sz w:val="20"/>
          <w:szCs w:val="20"/>
        </w:rPr>
        <w:t>Акредитаційної</w:t>
      </w:r>
      <w:proofErr w:type="spellEnd"/>
      <w:r>
        <w:rPr>
          <w:color w:val="000000"/>
          <w:sz w:val="20"/>
          <w:szCs w:val="20"/>
        </w:rPr>
        <w:t xml:space="preserve"> комісії, або їх експертних рад, або міжгалузевої експертної ради з вищої освіти </w:t>
      </w:r>
      <w:proofErr w:type="spellStart"/>
      <w:r>
        <w:rPr>
          <w:color w:val="000000"/>
          <w:sz w:val="20"/>
          <w:szCs w:val="20"/>
        </w:rPr>
        <w:t>Акредитаційної</w:t>
      </w:r>
      <w:proofErr w:type="spellEnd"/>
      <w:r>
        <w:rPr>
          <w:color w:val="000000"/>
          <w:sz w:val="20"/>
          <w:szCs w:val="20"/>
        </w:rPr>
        <w:t xml:space="preserve"> комісії, або трьох експертних комісій МОН/зазначеного Агентства, або Науково-методичної ради/науково-методичних комісій (підкомісій) з вищої освіти МОН;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9)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</w:t>
      </w:r>
      <w:proofErr w:type="spellStart"/>
      <w:r>
        <w:rPr>
          <w:color w:val="000000"/>
          <w:sz w:val="20"/>
          <w:szCs w:val="20"/>
        </w:rPr>
        <w:t>“Мала</w:t>
      </w:r>
      <w:proofErr w:type="spellEnd"/>
      <w:r>
        <w:rPr>
          <w:color w:val="000000"/>
          <w:sz w:val="20"/>
          <w:szCs w:val="20"/>
        </w:rPr>
        <w:t xml:space="preserve"> академія наук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 xml:space="preserve">; участь у журі олімпіад чи конкурсів </w:t>
      </w:r>
      <w:proofErr w:type="spellStart"/>
      <w:r>
        <w:rPr>
          <w:color w:val="000000"/>
          <w:sz w:val="20"/>
          <w:szCs w:val="20"/>
        </w:rPr>
        <w:t>“Мала</w:t>
      </w:r>
      <w:proofErr w:type="spellEnd"/>
      <w:r>
        <w:rPr>
          <w:color w:val="000000"/>
          <w:sz w:val="20"/>
          <w:szCs w:val="20"/>
        </w:rPr>
        <w:t xml:space="preserve"> академія наук </w:t>
      </w:r>
      <w:proofErr w:type="spellStart"/>
      <w:r>
        <w:rPr>
          <w:color w:val="000000"/>
          <w:sz w:val="20"/>
          <w:szCs w:val="20"/>
        </w:rPr>
        <w:t>України”</w:t>
      </w:r>
      <w:proofErr w:type="spellEnd"/>
      <w:r>
        <w:rPr>
          <w:color w:val="000000"/>
          <w:sz w:val="20"/>
          <w:szCs w:val="20"/>
        </w:rPr>
        <w:t>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11) участь в атестації наукових працівників як офіційного опонента або члена постійної спеціалізованої вченої ради (не менше трьох разових спеціалізованих вчених рад);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12) наявність не менше п’яти авторських свідоцтв та/або патентів загальною кількістю два досягнення;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14) 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</w:t>
      </w:r>
      <w:proofErr w:type="spellStart"/>
      <w:r>
        <w:rPr>
          <w:color w:val="000000"/>
          <w:sz w:val="20"/>
          <w:szCs w:val="20"/>
        </w:rPr>
        <w:t>Паралімпійських</w:t>
      </w:r>
      <w:proofErr w:type="spellEnd"/>
      <w:r>
        <w:rPr>
          <w:color w:val="000000"/>
          <w:sz w:val="20"/>
          <w:szCs w:val="20"/>
        </w:rPr>
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15) наявність науково-популярних та/або консультаційних (дорадчих) та/або дискусійних публікацій з наукової або професійної тематики загальною кількістю не менше п’яти публікацій;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16) участь у професійних об’єднаннях за спеціальністю;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17) досвід практичної роботи за спеціальністю не менше п’яти років;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18) наукове консультування установ, підприємств, організацій протягом не менше двох років.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Під час визначення рівня наукової та професійної активності науково-педагогічного (наукового) працівника можуть зараховуватися здобутки за попередніми місцями роботи, п’ятирічний строк може продовжуватися на час перерви в роботі з об’єктивних причин (соціальна відпустка, призов/мобілізація на військову службу чи військова служба за контрактом, тривала хвороба тощо). Для підтвердження кваліфікації науково-педагогічного працівника закладів вищої освіти, в яких здійснюється підготовка фахівців за мистецькими </w:t>
      </w:r>
      <w:hyperlink r:id="rId10" w:anchor="n11" w:tgtFrame="_blank" w:history="1">
        <w:r>
          <w:rPr>
            <w:rStyle w:val="a3"/>
            <w:color w:val="000099"/>
          </w:rPr>
          <w:t>спеціальностями галузі знань</w:t>
        </w:r>
      </w:hyperlink>
      <w:r>
        <w:rPr>
          <w:color w:val="000000"/>
          <w:sz w:val="20"/>
          <w:szCs w:val="20"/>
        </w:rPr>
        <w:t xml:space="preserve"> 02 </w:t>
      </w:r>
      <w:proofErr w:type="spellStart"/>
      <w:r>
        <w:rPr>
          <w:color w:val="000000"/>
          <w:sz w:val="20"/>
          <w:szCs w:val="20"/>
        </w:rPr>
        <w:t>“Культура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мистецтво”</w:t>
      </w:r>
      <w:proofErr w:type="spellEnd"/>
      <w:r>
        <w:rPr>
          <w:color w:val="000000"/>
          <w:sz w:val="20"/>
          <w:szCs w:val="20"/>
        </w:rPr>
        <w:t xml:space="preserve">, замість наукових публікацій можуть зараховуватися такі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</w:t>
      </w:r>
      <w:proofErr w:type="spellStart"/>
      <w:r>
        <w:rPr>
          <w:color w:val="000000"/>
          <w:sz w:val="20"/>
          <w:szCs w:val="20"/>
        </w:rPr>
        <w:t>аудіо-</w:t>
      </w:r>
      <w:proofErr w:type="spellEnd"/>
      <w:r>
        <w:rPr>
          <w:color w:val="000000"/>
          <w:sz w:val="20"/>
          <w:szCs w:val="20"/>
        </w:rPr>
        <w:t xml:space="preserve"> та відео твори, передачі (програми) організації мовлення, </w:t>
      </w:r>
      <w:proofErr w:type="spellStart"/>
      <w:r>
        <w:rPr>
          <w:color w:val="000000"/>
          <w:sz w:val="20"/>
          <w:szCs w:val="20"/>
        </w:rPr>
        <w:t>медіатвори</w:t>
      </w:r>
      <w:proofErr w:type="spellEnd"/>
      <w:r>
        <w:rPr>
          <w:color w:val="000000"/>
          <w:sz w:val="20"/>
          <w:szCs w:val="20"/>
        </w:rPr>
        <w:t xml:space="preserve">, сценічні постановки, концертні програми (сольні та ансамблеві) </w:t>
      </w:r>
      <w:proofErr w:type="spellStart"/>
      <w:r>
        <w:rPr>
          <w:color w:val="000000"/>
          <w:sz w:val="20"/>
          <w:szCs w:val="20"/>
        </w:rPr>
        <w:t>кінотвори</w:t>
      </w:r>
      <w:proofErr w:type="spellEnd"/>
      <w:r>
        <w:rPr>
          <w:color w:val="000000"/>
          <w:sz w:val="20"/>
          <w:szCs w:val="20"/>
        </w:rPr>
        <w:t>, анімаційні твори, аранжування творів, рекламні твори.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31. Наявність трудових договорів (контрактів) з усіма науково-педагогічними (науковими) працівниками та наказів про прийняття їх на роботу. Трудові договори (контракти) можуть бути відсутні лише для працівників, які прийняті на роботу до конкурсного заміщення вакантних посад у встановленому законодавством порядку або на умовах строкового договору без проведення конкурсу в разі заміщення посад працівників, які підвищують кваліфікацію або проходять стажування з відривом від виробництва, або перебувають у соціальній відпустці.</w:t>
      </w:r>
    </w:p>
    <w:p w:rsidR="00871BA4" w:rsidRDefault="00871BA4" w:rsidP="00871BA4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32. Заклад вищої освіти, який подав заяву про отримання ліцензії на провадження освітньої діяльності (розширення провадження освітньої діяльності) у сфері вищої освіти, зобов’язаний забезпечити кадровий склад науково-педагогічних працівників відповідно до вимог, передбачених цими Ліцензійними умовами.</w:t>
      </w:r>
    </w:p>
    <w:p w:rsidR="00871BA4" w:rsidRDefault="00871BA4" w:rsidP="00CC1102">
      <w:pPr>
        <w:spacing w:after="0"/>
      </w:pPr>
    </w:p>
    <w:sectPr w:rsidR="00871BA4" w:rsidSect="00C76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4484C"/>
    <w:rsid w:val="0024484C"/>
    <w:rsid w:val="00871BA4"/>
    <w:rsid w:val="00C76579"/>
    <w:rsid w:val="00CC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24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24484C"/>
  </w:style>
  <w:style w:type="paragraph" w:customStyle="1" w:styleId="rvps2">
    <w:name w:val="rvps2"/>
    <w:basedOn w:val="a"/>
    <w:rsid w:val="0024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">
    <w:name w:val="rvps3"/>
    <w:basedOn w:val="a"/>
    <w:rsid w:val="0024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484C"/>
    <w:rPr>
      <w:color w:val="0000FF"/>
      <w:u w:val="single"/>
    </w:rPr>
  </w:style>
  <w:style w:type="paragraph" w:customStyle="1" w:styleId="rvps7">
    <w:name w:val="rvps7"/>
    <w:basedOn w:val="a"/>
    <w:rsid w:val="0024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24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4484C"/>
  </w:style>
  <w:style w:type="character" w:customStyle="1" w:styleId="rvts64">
    <w:name w:val="rvts64"/>
    <w:basedOn w:val="a0"/>
    <w:rsid w:val="0024484C"/>
  </w:style>
  <w:style w:type="character" w:customStyle="1" w:styleId="rvts9">
    <w:name w:val="rvts9"/>
    <w:basedOn w:val="a0"/>
    <w:rsid w:val="0024484C"/>
  </w:style>
  <w:style w:type="paragraph" w:customStyle="1" w:styleId="rvps6">
    <w:name w:val="rvps6"/>
    <w:basedOn w:val="a"/>
    <w:rsid w:val="0024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4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75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38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7-2018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6-2015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66-2015-%D0%B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347-2018-%D0%BF" TargetMode="External"/><Relationship Id="rId10" Type="http://schemas.openxmlformats.org/officeDocument/2006/relationships/hyperlink" Target="https://zakon.rada.gov.ua/laws/show/266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66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6E6D-7481-486B-904B-75003B50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13011</Words>
  <Characters>7417</Characters>
  <Application>Microsoft Office Word</Application>
  <DocSecurity>0</DocSecurity>
  <Lines>61</Lines>
  <Paragraphs>40</Paragraphs>
  <ScaleCrop>false</ScaleCrop>
  <Company/>
  <LinksUpToDate>false</LinksUpToDate>
  <CharactersWithSpaces>20388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kadry2</cp:lastModifiedBy>
  <cp:revision>4</cp:revision>
  <cp:lastPrinted>2020-07-24T08:16:00Z</cp:lastPrinted>
  <dcterms:created xsi:type="dcterms:W3CDTF">2019-06-27T08:23:00Z</dcterms:created>
  <dcterms:modified xsi:type="dcterms:W3CDTF">2020-07-24T08:32:00Z</dcterms:modified>
</cp:coreProperties>
</file>